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00000" w:rsidRDefault="00DD7ED6">
      <w:pPr>
        <w:pStyle w:val="1"/>
      </w:pPr>
      <w:r>
        <w:fldChar w:fldCharType="begin"/>
      </w:r>
      <w:r>
        <w:instrText>HYPERLINK "garantF1://70327998.0"</w:instrText>
      </w:r>
      <w:r>
        <w:fldChar w:fldCharType="separate"/>
      </w:r>
      <w:r>
        <w:rPr>
          <w:rStyle w:val="a4"/>
          <w:b w:val="0"/>
          <w:bCs w:val="0"/>
        </w:rPr>
        <w:t>Письмо Федерального казначейства от 2 августа 2013 г. N 42-7.4-05/2.2-470</w:t>
      </w:r>
      <w:r>
        <w:fldChar w:fldCharType="end"/>
      </w:r>
    </w:p>
    <w:p w:rsidR="00000000" w:rsidRDefault="00DD7ED6"/>
    <w:p w:rsidR="00000000" w:rsidRDefault="00DD7ED6">
      <w:r>
        <w:t xml:space="preserve">Федеральное казначейство в связи с многочисленными запросами территориальных органов Федерального казначейства по вопросу применения </w:t>
      </w:r>
      <w:hyperlink r:id="rId7" w:history="1">
        <w:r>
          <w:rPr>
            <w:rStyle w:val="a4"/>
          </w:rPr>
          <w:t>классификации</w:t>
        </w:r>
      </w:hyperlink>
      <w:r>
        <w:t xml:space="preserve"> операций сектора государственного управления (далее - КОСГУ) при касс</w:t>
      </w:r>
      <w:r>
        <w:t>овом обслуживании бюджетных и автономных учреждений разъясняет.</w:t>
      </w:r>
    </w:p>
    <w:p w:rsidR="00000000" w:rsidRDefault="00DD7ED6">
      <w:hyperlink r:id="rId8" w:history="1">
        <w:proofErr w:type="gramStart"/>
        <w:r>
          <w:rPr>
            <w:rStyle w:val="a4"/>
          </w:rPr>
          <w:t>Разделом V</w:t>
        </w:r>
      </w:hyperlink>
      <w:r>
        <w:t xml:space="preserve"> Указаний о порядке применения бюджетной классификации Российской Федерации на 2013 год и на плановый период 2014 и 2015 годов, утвержденных </w:t>
      </w:r>
      <w:hyperlink r:id="rId9" w:history="1">
        <w:r>
          <w:rPr>
            <w:rStyle w:val="a4"/>
          </w:rPr>
          <w:t>приказом</w:t>
        </w:r>
      </w:hyperlink>
      <w:r>
        <w:t xml:space="preserve"> Минфина России от 21.12.2012 N 171н (далее - Указания) определен порядок применения КОСГУ при составлении и исполнении бюджетов бюджетной системы Российской Федерации и осуществлении операций государственными (м</w:t>
      </w:r>
      <w:r>
        <w:t>униципальными) бюджетными, автономными учреждениями.</w:t>
      </w:r>
      <w:proofErr w:type="gramEnd"/>
    </w:p>
    <w:p w:rsidR="00000000" w:rsidRDefault="00DD7ED6">
      <w:r>
        <w:t xml:space="preserve">Указанным </w:t>
      </w:r>
      <w:hyperlink r:id="rId10" w:history="1">
        <w:r>
          <w:rPr>
            <w:rStyle w:val="a4"/>
          </w:rPr>
          <w:t>разделом</w:t>
        </w:r>
      </w:hyperlink>
      <w:r>
        <w:t xml:space="preserve"> Указаний </w:t>
      </w:r>
      <w:hyperlink r:id="rId11" w:history="1">
        <w:r>
          <w:rPr>
            <w:rStyle w:val="a4"/>
          </w:rPr>
          <w:t>подстатьи 172</w:t>
        </w:r>
      </w:hyperlink>
      <w:r>
        <w:t xml:space="preserve"> "Доходы от реализации активов", </w:t>
      </w:r>
      <w:hyperlink r:id="rId12" w:history="1">
        <w:r>
          <w:rPr>
            <w:rStyle w:val="a4"/>
          </w:rPr>
          <w:t>173</w:t>
        </w:r>
      </w:hyperlink>
      <w:r>
        <w:t xml:space="preserve"> "Чре</w:t>
      </w:r>
      <w:r>
        <w:t xml:space="preserve">звычайные доходы от операций с активами" </w:t>
      </w:r>
      <w:hyperlink r:id="rId13" w:history="1">
        <w:r>
          <w:rPr>
            <w:rStyle w:val="a4"/>
          </w:rPr>
          <w:t>группы 100</w:t>
        </w:r>
      </w:hyperlink>
      <w:r>
        <w:t xml:space="preserve"> "Доходы", </w:t>
      </w:r>
      <w:hyperlink r:id="rId14" w:history="1">
        <w:r>
          <w:rPr>
            <w:rStyle w:val="a4"/>
          </w:rPr>
          <w:t>статьи 270</w:t>
        </w:r>
      </w:hyperlink>
      <w:r>
        <w:t xml:space="preserve"> "Расходы по операциям с активами" </w:t>
      </w:r>
      <w:hyperlink r:id="rId15" w:history="1">
        <w:r>
          <w:rPr>
            <w:rStyle w:val="a4"/>
          </w:rPr>
          <w:t>группы 200</w:t>
        </w:r>
      </w:hyperlink>
      <w:r>
        <w:t xml:space="preserve"> "Расходы" не преду</w:t>
      </w:r>
      <w:r>
        <w:t>смотрены.</w:t>
      </w:r>
    </w:p>
    <w:p w:rsidR="00000000" w:rsidRDefault="00DD7ED6">
      <w:r>
        <w:t xml:space="preserve">Кроме того, в связи с отсутствием у бюджетных и автономных учреждений полномочий по проведению отдельных операций, недопустимым является применение ими следующих статей (подстатей) </w:t>
      </w:r>
      <w:hyperlink r:id="rId16" w:history="1">
        <w:r>
          <w:rPr>
            <w:rStyle w:val="a4"/>
          </w:rPr>
          <w:t>КОСГУ</w:t>
        </w:r>
      </w:hyperlink>
      <w:r>
        <w:t>:</w:t>
      </w:r>
    </w:p>
    <w:p w:rsidR="00000000" w:rsidRDefault="00DD7ED6">
      <w:hyperlink r:id="rId17" w:history="1">
        <w:r>
          <w:rPr>
            <w:rStyle w:val="a4"/>
          </w:rPr>
          <w:t>110</w:t>
        </w:r>
      </w:hyperlink>
      <w:r>
        <w:t xml:space="preserve"> "Налоговые доходы";</w:t>
      </w:r>
    </w:p>
    <w:p w:rsidR="00000000" w:rsidRDefault="00DD7ED6">
      <w:hyperlink r:id="rId18" w:history="1">
        <w:r>
          <w:rPr>
            <w:rStyle w:val="a4"/>
          </w:rPr>
          <w:t>151</w:t>
        </w:r>
      </w:hyperlink>
      <w:r>
        <w:t xml:space="preserve"> "Поступление от других бюджетов бюджетной системы Российской Федерации";</w:t>
      </w:r>
    </w:p>
    <w:p w:rsidR="00000000" w:rsidRDefault="00DD7ED6">
      <w:hyperlink r:id="rId19" w:history="1">
        <w:r>
          <w:rPr>
            <w:rStyle w:val="a4"/>
          </w:rPr>
          <w:t>160</w:t>
        </w:r>
      </w:hyperlink>
      <w:r>
        <w:t xml:space="preserve"> "Страховые взносы на обязательное социальное стра</w:t>
      </w:r>
      <w:r>
        <w:t>хование";</w:t>
      </w:r>
    </w:p>
    <w:p w:rsidR="00000000" w:rsidRDefault="00DD7ED6">
      <w:hyperlink r:id="rId20" w:history="1">
        <w:r>
          <w:rPr>
            <w:rStyle w:val="a4"/>
          </w:rPr>
          <w:t>251</w:t>
        </w:r>
      </w:hyperlink>
      <w:r>
        <w:t xml:space="preserve"> "Перечисление другим бюджетам бюджетной системы Российской Федерации".</w:t>
      </w:r>
    </w:p>
    <w:p w:rsidR="00000000" w:rsidRDefault="00DD7ED6">
      <w:r>
        <w:t xml:space="preserve">Учитывая </w:t>
      </w:r>
      <w:proofErr w:type="gramStart"/>
      <w:r>
        <w:t>изложенное</w:t>
      </w:r>
      <w:proofErr w:type="gramEnd"/>
      <w:r>
        <w:t>, при поступлении на лицевой счет бюджетного (автономного) учреждения сумм по платежным документам, в которых ук</w:t>
      </w:r>
      <w:r>
        <w:t xml:space="preserve">азаны коды бюджетной классификации, содержащие вышеперечисленные коды КОСГУ, данные поступления органам Федерального казначейства следует классифицировать как ошибочные с отнесением на код КОСГУ </w:t>
      </w:r>
      <w:hyperlink r:id="rId21" w:history="1">
        <w:r>
          <w:rPr>
            <w:rStyle w:val="a4"/>
          </w:rPr>
          <w:t>180</w:t>
        </w:r>
      </w:hyperlink>
      <w:r>
        <w:t xml:space="preserve"> "Прочие доходы".</w:t>
      </w:r>
    </w:p>
    <w:p w:rsidR="00000000" w:rsidRDefault="00DD7ED6">
      <w:r>
        <w:t xml:space="preserve">Кроме того, органы Федерального казначейства не принимают к исполнению платежные документы, представленные бюджетным (автономным) учреждением для проведения кассовых выплат в случае указания в платежных документах вышеперечисленных кодов </w:t>
      </w:r>
      <w:hyperlink r:id="rId22" w:history="1">
        <w:r>
          <w:rPr>
            <w:rStyle w:val="a4"/>
          </w:rPr>
          <w:t>КОСГУ</w:t>
        </w:r>
      </w:hyperlink>
      <w:r>
        <w:t>.</w:t>
      </w:r>
    </w:p>
    <w:p w:rsidR="00000000" w:rsidRDefault="00DD7ED6"/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666"/>
        <w:gridCol w:w="333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D7ED6">
            <w:pPr>
              <w:pStyle w:val="afff0"/>
            </w:pPr>
            <w:r>
              <w:t>И.о. руководителя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D7ED6">
            <w:pPr>
              <w:pStyle w:val="aff7"/>
              <w:jc w:val="right"/>
            </w:pPr>
            <w:r>
              <w:t>С.Е. Прокофьев</w:t>
            </w:r>
          </w:p>
        </w:tc>
      </w:tr>
    </w:tbl>
    <w:p w:rsidR="00DD7ED6" w:rsidRDefault="00DD7ED6"/>
    <w:sectPr w:rsidR="00DD7ED6">
      <w:headerReference w:type="default" r:id="rId23"/>
      <w:pgSz w:w="11900" w:h="16800"/>
      <w:pgMar w:top="1440" w:right="800" w:bottom="144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ED6" w:rsidRDefault="00DD7ED6" w:rsidP="00644D36">
      <w:r>
        <w:separator/>
      </w:r>
    </w:p>
  </w:endnote>
  <w:endnote w:type="continuationSeparator" w:id="0">
    <w:p w:rsidR="00DD7ED6" w:rsidRDefault="00DD7ED6" w:rsidP="0064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ED6" w:rsidRDefault="00DD7ED6" w:rsidP="00644D36">
      <w:r>
        <w:separator/>
      </w:r>
    </w:p>
  </w:footnote>
  <w:footnote w:type="continuationSeparator" w:id="0">
    <w:p w:rsidR="00DD7ED6" w:rsidRDefault="00DD7ED6" w:rsidP="00644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D36" w:rsidRDefault="00644D36">
    <w:pPr>
      <w:pStyle w:val="affff0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644D36" w:rsidRDefault="00644D36">
    <w:pPr>
      <w:pStyle w:val="afff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36"/>
    <w:rsid w:val="00644D36"/>
    <w:rsid w:val="00DD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44D3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644D3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44D3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644D36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E0DFE3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pPr>
      <w:ind w:left="140"/>
    </w:pPr>
  </w:style>
  <w:style w:type="character" w:customStyle="1" w:styleId="affa">
    <w:name w:val="Опечатки"/>
    <w:uiPriority w:val="9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</w:style>
  <w:style w:type="paragraph" w:customStyle="1" w:styleId="afff2">
    <w:name w:val="Примечание."/>
    <w:basedOn w:val="a6"/>
    <w:next w:val="a"/>
    <w:uiPriority w:val="99"/>
  </w:style>
  <w:style w:type="character" w:customStyle="1" w:styleId="afff3">
    <w:name w:val="Продолжение ссылки"/>
    <w:basedOn w:val="a4"/>
    <w:uiPriority w:val="99"/>
    <w:rPr>
      <w:color w:val="106BBE"/>
    </w:rPr>
  </w:style>
  <w:style w:type="paragraph" w:customStyle="1" w:styleId="afff4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5">
    <w:name w:val="Сравнение редакций"/>
    <w:basedOn w:val="a3"/>
    <w:uiPriority w:val="99"/>
  </w:style>
  <w:style w:type="character" w:customStyle="1" w:styleId="afff6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</w:style>
  <w:style w:type="character" w:customStyle="1" w:styleId="afff9">
    <w:name w:val="Ссылка на утративший силу документ"/>
    <w:basedOn w:val="a4"/>
    <w:uiPriority w:val="9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f0">
    <w:name w:val="header"/>
    <w:basedOn w:val="a"/>
    <w:link w:val="affff1"/>
    <w:uiPriority w:val="99"/>
    <w:unhideWhenUsed/>
    <w:rsid w:val="00644D36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rsid w:val="00644D36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644D36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rsid w:val="00644D36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2486.100500" TargetMode="External"/><Relationship Id="rId13" Type="http://schemas.openxmlformats.org/officeDocument/2006/relationships/hyperlink" Target="garantF1://70192486.14100" TargetMode="External"/><Relationship Id="rId18" Type="http://schemas.openxmlformats.org/officeDocument/2006/relationships/hyperlink" Target="garantF1://70192486.14151" TargetMode="External"/><Relationship Id="rId3" Type="http://schemas.openxmlformats.org/officeDocument/2006/relationships/settings" Target="settings.xml"/><Relationship Id="rId21" Type="http://schemas.openxmlformats.org/officeDocument/2006/relationships/hyperlink" Target="garantF1://70192486.14180" TargetMode="External"/><Relationship Id="rId7" Type="http://schemas.openxmlformats.org/officeDocument/2006/relationships/hyperlink" Target="garantF1://70192486.14000" TargetMode="External"/><Relationship Id="rId12" Type="http://schemas.openxmlformats.org/officeDocument/2006/relationships/hyperlink" Target="garantF1://70192486.14173" TargetMode="External"/><Relationship Id="rId17" Type="http://schemas.openxmlformats.org/officeDocument/2006/relationships/hyperlink" Target="garantF1://70192486.14110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garantF1://70192486.14000" TargetMode="External"/><Relationship Id="rId20" Type="http://schemas.openxmlformats.org/officeDocument/2006/relationships/hyperlink" Target="garantF1://70192486.14251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70192486.14172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garantF1://70192486.14200" TargetMode="External"/><Relationship Id="rId23" Type="http://schemas.openxmlformats.org/officeDocument/2006/relationships/header" Target="header1.xml"/><Relationship Id="rId10" Type="http://schemas.openxmlformats.org/officeDocument/2006/relationships/hyperlink" Target="garantF1://70192486.100500" TargetMode="External"/><Relationship Id="rId19" Type="http://schemas.openxmlformats.org/officeDocument/2006/relationships/hyperlink" Target="garantF1://70192486.1416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192486.0" TargetMode="External"/><Relationship Id="rId14" Type="http://schemas.openxmlformats.org/officeDocument/2006/relationships/hyperlink" Target="garantF1://70192486.14270" TargetMode="External"/><Relationship Id="rId22" Type="http://schemas.openxmlformats.org/officeDocument/2006/relationships/hyperlink" Target="garantF1://70192486.14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Черкасова Юлия Викторовна</cp:lastModifiedBy>
  <cp:revision>2</cp:revision>
  <dcterms:created xsi:type="dcterms:W3CDTF">2015-10-08T09:09:00Z</dcterms:created>
  <dcterms:modified xsi:type="dcterms:W3CDTF">2015-10-08T09:09:00Z</dcterms:modified>
</cp:coreProperties>
</file>